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1C7BA990" w:rsidR="00B53A27" w:rsidRPr="00936D55" w:rsidRDefault="00EB1A4B" w:rsidP="00B53A27">
            <w:pPr>
              <w:spacing w:after="0" w:line="276" w:lineRule="auto"/>
              <w:rPr>
                <w:rFonts w:asciiTheme="minorHAnsi" w:hAnsiTheme="minorHAnsi" w:cstheme="minorHAnsi"/>
              </w:rPr>
            </w:pPr>
            <w:r w:rsidRPr="00EB1A4B">
              <w:rPr>
                <w:rFonts w:asciiTheme="minorHAnsi" w:hAnsiTheme="minorHAnsi" w:cstheme="minorHAnsi"/>
              </w:rPr>
              <w:t>Planeación, Coordinación y Gestión para la Vivienda en Sinaloa</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49D30372" w:rsidR="00B53A27" w:rsidRPr="00936D55" w:rsidRDefault="00EB1A4B" w:rsidP="00EB1A4B">
            <w:pPr>
              <w:spacing w:after="0" w:line="276" w:lineRule="auto"/>
              <w:rPr>
                <w:rFonts w:asciiTheme="minorHAnsi" w:hAnsiTheme="minorHAnsi" w:cstheme="minorHAnsi"/>
              </w:rPr>
            </w:pPr>
            <w:r>
              <w:rPr>
                <w:rFonts w:asciiTheme="minorHAnsi" w:hAnsiTheme="minorHAnsi" w:cstheme="minorHAnsi"/>
              </w:rPr>
              <w:t>Comisión de Vivienda del Estado de Sinaloa</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578C0224" w:rsidR="00B53A27" w:rsidRPr="00936D55" w:rsidRDefault="00EB1A4B" w:rsidP="00B53A27">
            <w:pPr>
              <w:spacing w:after="0" w:line="276" w:lineRule="auto"/>
              <w:rPr>
                <w:rFonts w:asciiTheme="minorHAnsi" w:hAnsiTheme="minorHAnsi" w:cstheme="minorHAnsi"/>
              </w:rPr>
            </w:pPr>
            <w:r>
              <w:rPr>
                <w:rFonts w:asciiTheme="minorHAnsi" w:hAnsiTheme="minorHAnsi" w:cstheme="minorHAnsi"/>
              </w:rPr>
              <w:t>Dirección de Administración y Finanzas</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1717F99B" w:rsidR="00B53A27" w:rsidRPr="00936D55" w:rsidRDefault="00EB1A4B" w:rsidP="00B53A27">
            <w:pPr>
              <w:spacing w:after="0" w:line="276" w:lineRule="auto"/>
              <w:rPr>
                <w:rFonts w:asciiTheme="minorHAnsi" w:hAnsiTheme="minorHAnsi" w:cstheme="minorHAnsi"/>
              </w:rPr>
            </w:pPr>
            <w:r>
              <w:rPr>
                <w:rFonts w:asciiTheme="minorHAnsi" w:hAnsiTheme="minorHAnsi" w:cstheme="minorHAnsi"/>
              </w:rPr>
              <w:t>Específica (procesos con diseño)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0C81170C" w:rsidR="00B53A27" w:rsidRPr="00936D55" w:rsidRDefault="00EB1A4B" w:rsidP="00B53A27">
            <w:pPr>
              <w:spacing w:after="0" w:line="276" w:lineRule="auto"/>
              <w:rPr>
                <w:rFonts w:asciiTheme="minorHAnsi" w:hAnsiTheme="minorHAnsi" w:cstheme="minorHAnsi"/>
              </w:rPr>
            </w:pPr>
            <w:r>
              <w:rPr>
                <w:rFonts w:asciiTheme="minorHAnsi" w:hAnsiTheme="minorHAnsi" w:cstheme="minorHAnsi"/>
              </w:rPr>
              <w:t>2023</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5C1AF2">
        <w:trPr>
          <w:trHeight w:val="886"/>
          <w:tblHeader/>
        </w:trPr>
        <w:tc>
          <w:tcPr>
            <w:tcW w:w="1942"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5C1AF2">
        <w:tc>
          <w:tcPr>
            <w:tcW w:w="1942" w:type="dxa"/>
            <w:vAlign w:val="center"/>
          </w:tcPr>
          <w:p w14:paraId="70425297" w14:textId="27D32131"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20523999" w:rsidR="00936D55" w:rsidRPr="00936D55" w:rsidRDefault="005C1AF2" w:rsidP="00861D0A">
            <w:pPr>
              <w:spacing w:after="0" w:line="276" w:lineRule="auto"/>
              <w:jc w:val="both"/>
              <w:rPr>
                <w:rFonts w:asciiTheme="minorHAnsi" w:hAnsiTheme="minorHAnsi" w:cstheme="minorHAnsi"/>
                <w:sz w:val="20"/>
                <w:szCs w:val="20"/>
              </w:rPr>
            </w:pPr>
            <w:r w:rsidRPr="005C1AF2">
              <w:rPr>
                <w:rFonts w:asciiTheme="minorHAnsi" w:hAnsiTheme="minorHAnsi" w:cstheme="minorHAnsi"/>
                <w:sz w:val="20"/>
                <w:szCs w:val="20"/>
              </w:rPr>
              <w:t xml:space="preserve">En las solicitudes que tiene que llenar el usuario solicitante de servicios de vivienda, agregar el sexo de la persona, como obligatorio, para </w:t>
            </w:r>
            <w:r w:rsidR="001B30EA" w:rsidRPr="005C1AF2">
              <w:rPr>
                <w:rFonts w:asciiTheme="minorHAnsi" w:hAnsiTheme="minorHAnsi" w:cstheme="minorHAnsi"/>
                <w:sz w:val="20"/>
                <w:szCs w:val="20"/>
              </w:rPr>
              <w:t>qué</w:t>
            </w:r>
            <w:r w:rsidRPr="005C1AF2">
              <w:rPr>
                <w:rFonts w:asciiTheme="minorHAnsi" w:hAnsiTheme="minorHAnsi" w:cstheme="minorHAnsi"/>
                <w:sz w:val="20"/>
                <w:szCs w:val="20"/>
              </w:rPr>
              <w:t>. al hacer el resumen, se pueda determinar los usuarios atendidos hombres y usuarios atendidos mujeres.</w:t>
            </w:r>
          </w:p>
        </w:tc>
        <w:tc>
          <w:tcPr>
            <w:tcW w:w="2753" w:type="dxa"/>
            <w:vAlign w:val="center"/>
          </w:tcPr>
          <w:p w14:paraId="5A8AE607" w14:textId="49A4CA69" w:rsidR="0056725C" w:rsidRPr="00D05CDC" w:rsidRDefault="00776BB3" w:rsidP="001C1825">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En las solicitudes de información de 2025, se va a incluir el sexo de las personas para cumplir con la paridad de </w:t>
            </w:r>
            <w:r w:rsidR="001B30EA">
              <w:rPr>
                <w:rFonts w:asciiTheme="minorHAnsi" w:hAnsiTheme="minorHAnsi" w:cstheme="minorHAnsi"/>
                <w:sz w:val="20"/>
                <w:szCs w:val="20"/>
              </w:rPr>
              <w:t>género.</w:t>
            </w:r>
          </w:p>
        </w:tc>
        <w:tc>
          <w:tcPr>
            <w:tcW w:w="2303" w:type="dxa"/>
            <w:vAlign w:val="center"/>
          </w:tcPr>
          <w:p w14:paraId="1DA7876B" w14:textId="62EF9EF6" w:rsidR="00936D55" w:rsidRPr="00D05CDC" w:rsidRDefault="0054019F" w:rsidP="0056725C">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Se mejora la atención de los beneficiarios en lo que se refiere a la paridad de </w:t>
            </w:r>
            <w:r w:rsidR="001B30EA">
              <w:rPr>
                <w:rFonts w:asciiTheme="minorHAnsi" w:hAnsiTheme="minorHAnsi" w:cstheme="minorHAnsi"/>
                <w:sz w:val="20"/>
                <w:szCs w:val="20"/>
              </w:rPr>
              <w:t>género.</w:t>
            </w:r>
          </w:p>
        </w:tc>
      </w:tr>
      <w:tr w:rsidR="001C1825" w:rsidRPr="00936D55" w14:paraId="4D3DAD0C" w14:textId="77777777" w:rsidTr="005C1AF2">
        <w:tc>
          <w:tcPr>
            <w:tcW w:w="1942" w:type="dxa"/>
            <w:vAlign w:val="center"/>
          </w:tcPr>
          <w:p w14:paraId="6EBB4888" w14:textId="77777777"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3F2A186C" w:rsidR="00936D55" w:rsidRPr="00936D55" w:rsidRDefault="005C1AF2" w:rsidP="00861D0A">
            <w:pPr>
              <w:spacing w:after="0" w:line="276" w:lineRule="auto"/>
              <w:jc w:val="both"/>
              <w:rPr>
                <w:rFonts w:asciiTheme="minorHAnsi" w:hAnsiTheme="minorHAnsi" w:cstheme="minorHAnsi"/>
                <w:sz w:val="20"/>
                <w:szCs w:val="20"/>
              </w:rPr>
            </w:pPr>
            <w:r w:rsidRPr="005C1AF2">
              <w:rPr>
                <w:rFonts w:asciiTheme="minorHAnsi" w:hAnsiTheme="minorHAnsi" w:cstheme="minorHAnsi"/>
                <w:sz w:val="20"/>
                <w:szCs w:val="20"/>
              </w:rPr>
              <w:t>Modificar los sistemas de información, para que el registro de usuario y pueda formarse un padrón de los mismos por ejercicio y por el tipo de acción de vivienda, que además de hacerlo en papel, se pueda registrar en el sistema de plataforma digital.</w:t>
            </w:r>
          </w:p>
        </w:tc>
        <w:tc>
          <w:tcPr>
            <w:tcW w:w="2753" w:type="dxa"/>
            <w:vAlign w:val="center"/>
          </w:tcPr>
          <w:p w14:paraId="36B3706E" w14:textId="1DB22633" w:rsidR="00936D55" w:rsidRPr="00D05CDC" w:rsidRDefault="0054019F" w:rsidP="0056725C">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Se va a realizar una evaluación al sistema considerando las observaciones que nos hacen y obtener un sistema de información más efectivo</w:t>
            </w:r>
            <w:r w:rsidR="001B30EA">
              <w:rPr>
                <w:rFonts w:asciiTheme="minorHAnsi" w:hAnsiTheme="minorHAnsi" w:cstheme="minorHAnsi"/>
                <w:sz w:val="20"/>
                <w:szCs w:val="20"/>
              </w:rPr>
              <w:t>.</w:t>
            </w:r>
          </w:p>
        </w:tc>
        <w:tc>
          <w:tcPr>
            <w:tcW w:w="2303" w:type="dxa"/>
            <w:vAlign w:val="center"/>
          </w:tcPr>
          <w:p w14:paraId="1CED0DF8" w14:textId="56703C68" w:rsidR="00936D55" w:rsidRPr="00D05CDC" w:rsidRDefault="0054019F" w:rsidP="0056725C">
            <w:pPr>
              <w:spacing w:after="0" w:line="276" w:lineRule="auto"/>
              <w:jc w:val="both"/>
              <w:rPr>
                <w:rFonts w:asciiTheme="minorHAnsi" w:hAnsiTheme="minorHAnsi" w:cstheme="minorHAnsi"/>
                <w:sz w:val="20"/>
                <w:szCs w:val="20"/>
              </w:rPr>
            </w:pPr>
            <w:r>
              <w:rPr>
                <w:rFonts w:asciiTheme="minorHAnsi" w:hAnsiTheme="minorHAnsi" w:cstheme="minorHAnsi"/>
                <w:sz w:val="20"/>
                <w:szCs w:val="20"/>
              </w:rPr>
              <w:t>Con las modificaciones al sistema de información, esperamos obtener como resultado un padrón de beneficiario actualizado</w:t>
            </w:r>
            <w:r w:rsidR="001B30EA">
              <w:rPr>
                <w:rFonts w:asciiTheme="minorHAnsi" w:hAnsiTheme="minorHAnsi" w:cstheme="minorHAnsi"/>
                <w:sz w:val="20"/>
                <w:szCs w:val="20"/>
              </w:rPr>
              <w:t>.</w:t>
            </w:r>
          </w:p>
        </w:tc>
      </w:tr>
      <w:tr w:rsidR="001C1825" w:rsidRPr="00936D55" w14:paraId="6202F808" w14:textId="77777777" w:rsidTr="005C1AF2">
        <w:tc>
          <w:tcPr>
            <w:tcW w:w="1942" w:type="dxa"/>
            <w:vAlign w:val="center"/>
          </w:tcPr>
          <w:p w14:paraId="2FCCAB4C" w14:textId="77777777" w:rsidR="00B875B8" w:rsidRPr="00936D55" w:rsidRDefault="00B875B8" w:rsidP="00B875B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B875B8" w:rsidRPr="00D02A3D" w:rsidRDefault="00B875B8" w:rsidP="00B875B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vAlign w:val="center"/>
          </w:tcPr>
          <w:p w14:paraId="4C3DA5D5" w14:textId="6CE89477" w:rsidR="00B875B8" w:rsidRPr="00861D0A" w:rsidRDefault="005C1AF2" w:rsidP="00B875B8">
            <w:pPr>
              <w:spacing w:after="0" w:line="276" w:lineRule="auto"/>
              <w:jc w:val="both"/>
              <w:rPr>
                <w:rFonts w:asciiTheme="minorHAnsi" w:hAnsiTheme="minorHAnsi" w:cstheme="minorHAnsi"/>
                <w:sz w:val="20"/>
                <w:szCs w:val="20"/>
              </w:rPr>
            </w:pPr>
            <w:r w:rsidRPr="005C1AF2">
              <w:rPr>
                <w:rFonts w:asciiTheme="minorHAnsi" w:hAnsiTheme="minorHAnsi" w:cstheme="minorHAnsi"/>
                <w:sz w:val="20"/>
                <w:szCs w:val="20"/>
              </w:rPr>
              <w:t>Promover acuerdos con la Secretaria de Bienestar y Desarrollo Sustentable Sinaloa</w:t>
            </w:r>
            <w:r w:rsidR="001B30EA">
              <w:rPr>
                <w:rFonts w:asciiTheme="minorHAnsi" w:hAnsiTheme="minorHAnsi" w:cstheme="minorHAnsi"/>
                <w:sz w:val="20"/>
                <w:szCs w:val="20"/>
              </w:rPr>
              <w:t xml:space="preserve"> </w:t>
            </w:r>
            <w:r w:rsidRPr="005C1AF2">
              <w:rPr>
                <w:rFonts w:asciiTheme="minorHAnsi" w:hAnsiTheme="minorHAnsi" w:cstheme="minorHAnsi"/>
                <w:sz w:val="20"/>
                <w:szCs w:val="20"/>
              </w:rPr>
              <w:t xml:space="preserve">(SEBIDES), para que la Comisión de Vivienda del Estado de Sinaloa, </w:t>
            </w:r>
            <w:r w:rsidRPr="005C1AF2">
              <w:rPr>
                <w:rFonts w:asciiTheme="minorHAnsi" w:hAnsiTheme="minorHAnsi" w:cstheme="minorHAnsi"/>
                <w:sz w:val="20"/>
                <w:szCs w:val="20"/>
              </w:rPr>
              <w:lastRenderedPageBreak/>
              <w:t>como integrante del sector de SEBIDES, pueda ejercer en su nombre el presupuesto que le asignen para realizar acciones de vivienda y así cumplir de una manera más amplia con el objeto social para la que fue creada.</w:t>
            </w:r>
          </w:p>
        </w:tc>
        <w:tc>
          <w:tcPr>
            <w:tcW w:w="2753" w:type="dxa"/>
            <w:vAlign w:val="center"/>
          </w:tcPr>
          <w:p w14:paraId="740FC487" w14:textId="5D036E3F" w:rsidR="00B875B8" w:rsidRPr="00D05CDC" w:rsidRDefault="000F7A44" w:rsidP="00B875B8">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Se propondrá hacer un planteamiento a la Secretaría de Bienestar y Desarrollo Sustentable, para poder ejercer parte de los recursos presupuestarios que se le asignan, para incrementar las </w:t>
            </w:r>
            <w:r>
              <w:rPr>
                <w:rFonts w:asciiTheme="minorHAnsi" w:hAnsiTheme="minorHAnsi" w:cstheme="minorHAnsi"/>
                <w:sz w:val="20"/>
                <w:szCs w:val="20"/>
              </w:rPr>
              <w:lastRenderedPageBreak/>
              <w:t>acciones de vivienda a favor de los solicitantes de acciones de vivienda</w:t>
            </w:r>
            <w:r w:rsidR="001B30EA">
              <w:rPr>
                <w:rFonts w:asciiTheme="minorHAnsi" w:hAnsiTheme="minorHAnsi" w:cstheme="minorHAnsi"/>
                <w:sz w:val="20"/>
                <w:szCs w:val="20"/>
              </w:rPr>
              <w:t>.</w:t>
            </w:r>
          </w:p>
        </w:tc>
        <w:tc>
          <w:tcPr>
            <w:tcW w:w="2303" w:type="dxa"/>
            <w:vAlign w:val="center"/>
          </w:tcPr>
          <w:p w14:paraId="1BF35B51" w14:textId="67A947D8" w:rsidR="00B875B8" w:rsidRPr="00D05CDC" w:rsidRDefault="000F7A44" w:rsidP="00B875B8">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Realizar reuniones con la Secretaría de Bienestar y Desarrollo Sustentable para hacer labor de convencimiento de lo necesario que es que se le asignen más </w:t>
            </w:r>
            <w:r w:rsidR="001B30EA">
              <w:rPr>
                <w:rFonts w:asciiTheme="minorHAnsi" w:hAnsiTheme="minorHAnsi" w:cstheme="minorHAnsi"/>
                <w:sz w:val="20"/>
                <w:szCs w:val="20"/>
              </w:rPr>
              <w:t>recursos a</w:t>
            </w:r>
            <w:r>
              <w:rPr>
                <w:rFonts w:asciiTheme="minorHAnsi" w:hAnsiTheme="minorHAnsi" w:cstheme="minorHAnsi"/>
                <w:sz w:val="20"/>
                <w:szCs w:val="20"/>
              </w:rPr>
              <w:t xml:space="preserve"> la </w:t>
            </w:r>
            <w:r>
              <w:rPr>
                <w:rFonts w:asciiTheme="minorHAnsi" w:hAnsiTheme="minorHAnsi" w:cstheme="minorHAnsi"/>
                <w:sz w:val="20"/>
                <w:szCs w:val="20"/>
              </w:rPr>
              <w:lastRenderedPageBreak/>
              <w:t>comisión de Vivienda del Estado de Sinaloa, para cumplir con el objetivo social para el cual fue creado</w:t>
            </w:r>
            <w:r w:rsidR="001B30EA">
              <w:rPr>
                <w:rFonts w:asciiTheme="minorHAnsi" w:hAnsiTheme="minorHAnsi" w:cstheme="minorHAnsi"/>
                <w:sz w:val="20"/>
                <w:szCs w:val="20"/>
              </w:rPr>
              <w:t>.</w:t>
            </w:r>
          </w:p>
        </w:tc>
      </w:tr>
      <w:tr w:rsidR="005C1AF2" w:rsidRPr="00936D55" w14:paraId="0208EFE5" w14:textId="77777777" w:rsidTr="005C1AF2">
        <w:tc>
          <w:tcPr>
            <w:tcW w:w="1942" w:type="dxa"/>
            <w:vAlign w:val="center"/>
          </w:tcPr>
          <w:p w14:paraId="733C80F1" w14:textId="77777777" w:rsidR="005C1AF2" w:rsidRPr="00936D55" w:rsidRDefault="005C1AF2" w:rsidP="005C1AF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2F33AA1F" w14:textId="2D2A456C" w:rsidR="005C1AF2" w:rsidRPr="00936D55" w:rsidRDefault="005C1AF2" w:rsidP="005C1AF2">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4</w:t>
            </w:r>
          </w:p>
        </w:tc>
        <w:tc>
          <w:tcPr>
            <w:tcW w:w="2226" w:type="dxa"/>
            <w:vAlign w:val="center"/>
          </w:tcPr>
          <w:p w14:paraId="6C1240A6" w14:textId="3C4A07BF" w:rsidR="005C1AF2" w:rsidRPr="00861D0A" w:rsidRDefault="005C1AF2" w:rsidP="005C1AF2">
            <w:pPr>
              <w:spacing w:after="0" w:line="276" w:lineRule="auto"/>
              <w:jc w:val="both"/>
              <w:rPr>
                <w:rFonts w:asciiTheme="minorHAnsi" w:hAnsiTheme="minorHAnsi" w:cstheme="minorHAnsi"/>
                <w:sz w:val="20"/>
                <w:szCs w:val="20"/>
              </w:rPr>
            </w:pPr>
            <w:r w:rsidRPr="005C1AF2">
              <w:rPr>
                <w:rFonts w:asciiTheme="minorHAnsi" w:hAnsiTheme="minorHAnsi" w:cstheme="minorHAnsi"/>
                <w:sz w:val="20"/>
                <w:szCs w:val="20"/>
              </w:rPr>
              <w:t>Elaborar un estudio sobre el ordenamiento territorial en el Estado de Sinaloa, con el objeto de proponer al mismo, la adquisición de reservas territoriales aptas para el desarrollo de vivienda en los diferentes municipios.</w:t>
            </w:r>
          </w:p>
        </w:tc>
        <w:tc>
          <w:tcPr>
            <w:tcW w:w="2753" w:type="dxa"/>
            <w:vAlign w:val="center"/>
          </w:tcPr>
          <w:p w14:paraId="134714E5" w14:textId="643604F4" w:rsidR="005C1AF2" w:rsidRPr="00D05CDC" w:rsidRDefault="000F7A44" w:rsidP="005C1AF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Realizar estudios por cada una de nuestras Coordinaciones regionales </w:t>
            </w:r>
            <w:r w:rsidR="00090021">
              <w:rPr>
                <w:rFonts w:asciiTheme="minorHAnsi" w:hAnsiTheme="minorHAnsi" w:cstheme="minorHAnsi"/>
                <w:sz w:val="20"/>
                <w:szCs w:val="20"/>
              </w:rPr>
              <w:t>para</w:t>
            </w:r>
            <w:r>
              <w:rPr>
                <w:rFonts w:asciiTheme="minorHAnsi" w:hAnsiTheme="minorHAnsi" w:cstheme="minorHAnsi"/>
                <w:sz w:val="20"/>
                <w:szCs w:val="20"/>
              </w:rPr>
              <w:t xml:space="preserve"> ubicar las posibles reservas territoriales en los diferentes municipios del estado</w:t>
            </w:r>
            <w:r w:rsidR="00090021">
              <w:rPr>
                <w:rFonts w:asciiTheme="minorHAnsi" w:hAnsiTheme="minorHAnsi" w:cstheme="minorHAnsi"/>
                <w:sz w:val="20"/>
                <w:szCs w:val="20"/>
              </w:rPr>
              <w:t>, para realizar acciones de vivienda</w:t>
            </w:r>
            <w:r w:rsidR="001B30EA">
              <w:rPr>
                <w:rFonts w:asciiTheme="minorHAnsi" w:hAnsiTheme="minorHAnsi" w:cstheme="minorHAnsi"/>
                <w:sz w:val="20"/>
                <w:szCs w:val="20"/>
              </w:rPr>
              <w:t>.</w:t>
            </w:r>
          </w:p>
        </w:tc>
        <w:tc>
          <w:tcPr>
            <w:tcW w:w="2303" w:type="dxa"/>
            <w:vAlign w:val="center"/>
          </w:tcPr>
          <w:p w14:paraId="28F960F2" w14:textId="6F1D0B65" w:rsidR="005C1AF2" w:rsidRPr="00D05CDC" w:rsidRDefault="00090021" w:rsidP="005C1AF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Coordinar las propuestas de las Coordinaciones regionales para integrar un estudio que dé como resultado una propuesta Al Gobierno del Estado de Sinaloa, para la adquisición de nuevas reservas territoriales, para acciones de vivienda</w:t>
            </w:r>
          </w:p>
        </w:tc>
      </w:tr>
      <w:tr w:rsidR="005C1AF2" w:rsidRPr="00936D55" w14:paraId="6EF95E78" w14:textId="77777777" w:rsidTr="005C1AF2">
        <w:tc>
          <w:tcPr>
            <w:tcW w:w="1942" w:type="dxa"/>
            <w:vAlign w:val="center"/>
          </w:tcPr>
          <w:p w14:paraId="1CD4896C" w14:textId="77777777" w:rsidR="005C1AF2" w:rsidRPr="00936D55" w:rsidRDefault="005C1AF2" w:rsidP="005C1AF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6D10553" w14:textId="771A2D9F" w:rsidR="005C1AF2" w:rsidRPr="00936D55" w:rsidRDefault="005C1AF2" w:rsidP="005C1AF2">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5</w:t>
            </w:r>
          </w:p>
        </w:tc>
        <w:tc>
          <w:tcPr>
            <w:tcW w:w="2226" w:type="dxa"/>
            <w:vAlign w:val="center"/>
          </w:tcPr>
          <w:p w14:paraId="2BC63704" w14:textId="5E6543A2" w:rsidR="005C1AF2" w:rsidRPr="00861D0A" w:rsidRDefault="005C1AF2" w:rsidP="005C1AF2">
            <w:pPr>
              <w:spacing w:after="0" w:line="276" w:lineRule="auto"/>
              <w:jc w:val="both"/>
              <w:rPr>
                <w:rFonts w:asciiTheme="minorHAnsi" w:hAnsiTheme="minorHAnsi" w:cstheme="minorHAnsi"/>
                <w:sz w:val="20"/>
                <w:szCs w:val="20"/>
              </w:rPr>
            </w:pPr>
            <w:r w:rsidRPr="005C1AF2">
              <w:rPr>
                <w:rFonts w:asciiTheme="minorHAnsi" w:hAnsiTheme="minorHAnsi" w:cstheme="minorHAnsi"/>
                <w:sz w:val="20"/>
                <w:szCs w:val="20"/>
              </w:rPr>
              <w:t>Gestionar ante INFONAVIT y otras dependencias federales dedicadas a la vivienda de interés social, un programa especial para atraer recursos a Sinaloa, para vivienda de 1 a 3 salarios mininos.</w:t>
            </w:r>
          </w:p>
        </w:tc>
        <w:tc>
          <w:tcPr>
            <w:tcW w:w="2753" w:type="dxa"/>
            <w:vAlign w:val="center"/>
          </w:tcPr>
          <w:p w14:paraId="6E396393" w14:textId="0768FC88" w:rsidR="005C1AF2" w:rsidRPr="00D05CDC" w:rsidRDefault="00090021" w:rsidP="005C1AF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Determinar cuáles son los Organismos Federales a los cuales se le pueda hacer la propuesta de que destines más recursos para vivienda para personas de 1 a 3 salarios mínimos</w:t>
            </w:r>
            <w:r w:rsidR="001B30EA">
              <w:rPr>
                <w:rFonts w:asciiTheme="minorHAnsi" w:hAnsiTheme="minorHAnsi" w:cstheme="minorHAnsi"/>
                <w:sz w:val="20"/>
                <w:szCs w:val="20"/>
              </w:rPr>
              <w:t>.</w:t>
            </w:r>
          </w:p>
        </w:tc>
        <w:tc>
          <w:tcPr>
            <w:tcW w:w="2303" w:type="dxa"/>
            <w:vAlign w:val="center"/>
          </w:tcPr>
          <w:p w14:paraId="2AADF76A" w14:textId="61AC927E" w:rsidR="005C1AF2" w:rsidRPr="00D05CDC" w:rsidRDefault="00090021" w:rsidP="005C1AF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Coordinar las acciones para que el personal del organismo o de la </w:t>
            </w:r>
            <w:r w:rsidR="004B31B6">
              <w:rPr>
                <w:rFonts w:asciiTheme="minorHAnsi" w:hAnsiTheme="minorHAnsi" w:cstheme="minorHAnsi"/>
                <w:sz w:val="20"/>
                <w:szCs w:val="20"/>
              </w:rPr>
              <w:t>Secretaría del</w:t>
            </w:r>
            <w:r>
              <w:rPr>
                <w:rFonts w:asciiTheme="minorHAnsi" w:hAnsiTheme="minorHAnsi" w:cstheme="minorHAnsi"/>
                <w:sz w:val="20"/>
                <w:szCs w:val="20"/>
              </w:rPr>
              <w:t xml:space="preserve"> Bienestar y Desarrollo S</w:t>
            </w:r>
            <w:r w:rsidR="004B31B6">
              <w:rPr>
                <w:rFonts w:asciiTheme="minorHAnsi" w:hAnsiTheme="minorHAnsi" w:cstheme="minorHAnsi"/>
                <w:sz w:val="20"/>
                <w:szCs w:val="20"/>
              </w:rPr>
              <w:t>ustentable</w:t>
            </w:r>
            <w:r>
              <w:rPr>
                <w:rFonts w:asciiTheme="minorHAnsi" w:hAnsiTheme="minorHAnsi" w:cstheme="minorHAnsi"/>
                <w:sz w:val="20"/>
                <w:szCs w:val="20"/>
              </w:rPr>
              <w:t xml:space="preserve"> o el P</w:t>
            </w:r>
            <w:r w:rsidR="004B31B6">
              <w:rPr>
                <w:rFonts w:asciiTheme="minorHAnsi" w:hAnsiTheme="minorHAnsi" w:cstheme="minorHAnsi"/>
                <w:sz w:val="20"/>
                <w:szCs w:val="20"/>
              </w:rPr>
              <w:t>ropio Gobierno del Estado de Sinaloa, propongan a INFONAVIT y otras dependencias federales, asignar más recursos de vivienda a Sinaloa</w:t>
            </w:r>
            <w:r w:rsidR="001B30EA">
              <w:rPr>
                <w:rFonts w:asciiTheme="minorHAnsi" w:hAnsiTheme="minorHAnsi" w:cstheme="minorHAnsi"/>
                <w:sz w:val="20"/>
                <w:szCs w:val="20"/>
              </w:rPr>
              <w:t>.</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20891704" w:rsidR="00936D55"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ED445F" w:rsidRPr="00ED445F">
        <w:rPr>
          <w:rFonts w:asciiTheme="minorHAnsi" w:hAnsiTheme="minorHAnsi" w:cstheme="minorHAnsi"/>
          <w:sz w:val="20"/>
          <w:szCs w:val="24"/>
        </w:rPr>
        <w:t>Externa</w:t>
      </w:r>
      <w:r w:rsidR="00776BB3">
        <w:rPr>
          <w:rFonts w:asciiTheme="minorHAnsi" w:hAnsiTheme="minorHAnsi" w:cstheme="minorHAnsi"/>
          <w:sz w:val="20"/>
          <w:szCs w:val="24"/>
        </w:rPr>
        <w:t xml:space="preserve"> Específica </w:t>
      </w:r>
      <w:r w:rsidR="00B570BF">
        <w:rPr>
          <w:rFonts w:asciiTheme="minorHAnsi" w:hAnsiTheme="minorHAnsi" w:cstheme="minorHAnsi"/>
          <w:sz w:val="20"/>
          <w:szCs w:val="24"/>
        </w:rPr>
        <w:t xml:space="preserve">procesos con </w:t>
      </w:r>
      <w:r w:rsidR="00776BB3">
        <w:rPr>
          <w:rFonts w:asciiTheme="minorHAnsi" w:hAnsiTheme="minorHAnsi" w:cstheme="minorHAnsi"/>
          <w:sz w:val="20"/>
          <w:szCs w:val="24"/>
        </w:rPr>
        <w:t>diseño</w:t>
      </w:r>
      <w:r w:rsidRPr="00936D55">
        <w:rPr>
          <w:rFonts w:asciiTheme="minorHAnsi" w:hAnsiTheme="minorHAnsi" w:cstheme="minorHAnsi"/>
          <w:sz w:val="20"/>
          <w:szCs w:val="24"/>
        </w:rPr>
        <w:t>, contiene los elementos necesarios para conocer el programa y su evolución a través del tiempo.</w:t>
      </w:r>
    </w:p>
    <w:p w14:paraId="4644B27E" w14:textId="77777777" w:rsidR="004B31B6" w:rsidRPr="0083413E" w:rsidRDefault="004B31B6" w:rsidP="0083413E">
      <w:pPr>
        <w:spacing w:line="276" w:lineRule="auto"/>
        <w:jc w:val="both"/>
        <w:rPr>
          <w:rFonts w:asciiTheme="minorHAnsi" w:hAnsiTheme="minorHAnsi" w:cstheme="minorHAnsi"/>
          <w:sz w:val="20"/>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lastRenderedPageBreak/>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6B9F82CA" w14:textId="179D0E5C" w:rsidR="00B875B8" w:rsidRDefault="0054019F" w:rsidP="002A4072">
      <w:p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 xml:space="preserve">Se considera que el resultado de la evaluación es positivo, ya que se confirmó que el árbol del problemas y el árbol de </w:t>
      </w:r>
      <w:r w:rsidR="001B30EA">
        <w:rPr>
          <w:rFonts w:asciiTheme="minorHAnsi" w:hAnsiTheme="minorHAnsi" w:cstheme="minorHAnsi"/>
          <w:sz w:val="20"/>
          <w:szCs w:val="20"/>
        </w:rPr>
        <w:t>objetivos y</w:t>
      </w:r>
      <w:r>
        <w:rPr>
          <w:rFonts w:asciiTheme="minorHAnsi" w:hAnsiTheme="minorHAnsi" w:cstheme="minorHAnsi"/>
          <w:sz w:val="20"/>
          <w:szCs w:val="20"/>
        </w:rPr>
        <w:t xml:space="preserve"> la MIR son los correctos </w:t>
      </w:r>
      <w:r w:rsidR="001B30EA">
        <w:rPr>
          <w:rFonts w:asciiTheme="minorHAnsi" w:hAnsiTheme="minorHAnsi" w:cstheme="minorHAnsi"/>
          <w:sz w:val="20"/>
          <w:szCs w:val="20"/>
        </w:rPr>
        <w:t>y se</w:t>
      </w:r>
      <w:r>
        <w:rPr>
          <w:rFonts w:asciiTheme="minorHAnsi" w:hAnsiTheme="minorHAnsi" w:cstheme="minorHAnsi"/>
          <w:sz w:val="20"/>
          <w:szCs w:val="20"/>
        </w:rPr>
        <w:t xml:space="preserve"> consideran en el desarrollo de la estrategia de operación del organismo tanto en diseño como en sus procesos, estamos de acuerdo en los procesos de mejora que proponen.</w:t>
      </w:r>
    </w:p>
    <w:p w14:paraId="6A0D6E73" w14:textId="77777777" w:rsidR="002A4072" w:rsidRPr="002A4072" w:rsidRDefault="002A4072" w:rsidP="002A4072">
      <w:pPr>
        <w:spacing w:line="276" w:lineRule="auto"/>
        <w:ind w:right="1"/>
        <w:jc w:val="both"/>
        <w:rPr>
          <w:rFonts w:asciiTheme="minorHAnsi" w:hAnsiTheme="minorHAnsi" w:cstheme="minorHAnsi"/>
          <w:sz w:val="20"/>
          <w:szCs w:val="20"/>
        </w:rPr>
      </w:pP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3A4FB6C" w14:textId="7F3CB031" w:rsidR="00ED445F" w:rsidRPr="00ED12C1" w:rsidRDefault="002A4072" w:rsidP="001B30EA">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El proceso de evaluación se llevó a cabo conforme lo establecido en el Programa Anual de Evaluación del ejercicio 2024</w:t>
      </w:r>
      <w:r w:rsidR="001B30EA">
        <w:rPr>
          <w:rFonts w:asciiTheme="minorHAnsi" w:hAnsiTheme="minorHAnsi" w:cstheme="minorHAnsi"/>
          <w:sz w:val="20"/>
          <w:szCs w:val="20"/>
        </w:rPr>
        <w:t>.</w:t>
      </w:r>
    </w:p>
    <w:p w14:paraId="4707DB96" w14:textId="02BC3646" w:rsidR="00ED445F" w:rsidRPr="00936D55" w:rsidRDefault="00ED445F" w:rsidP="00ED445F">
      <w:pPr>
        <w:spacing w:line="276" w:lineRule="auto"/>
        <w:ind w:right="1"/>
        <w:jc w:val="both"/>
        <w:rPr>
          <w:rFonts w:asciiTheme="minorHAnsi" w:hAnsiTheme="minorHAnsi" w:cstheme="minorHAnsi"/>
          <w:b/>
          <w:bCs/>
          <w:sz w:val="20"/>
          <w:szCs w:val="20"/>
        </w:rPr>
      </w:pPr>
      <w:r>
        <w:rPr>
          <w:rFonts w:asciiTheme="minorHAnsi" w:hAnsiTheme="minorHAnsi" w:cstheme="minorHAnsi"/>
          <w:b/>
          <w:bCs/>
          <w:sz w:val="20"/>
          <w:szCs w:val="20"/>
        </w:rPr>
        <w:t>3.3</w:t>
      </w:r>
      <w:r w:rsidRPr="00936D55">
        <w:rPr>
          <w:rFonts w:asciiTheme="minorHAnsi" w:hAnsiTheme="minorHAnsi" w:cstheme="minorHAnsi"/>
          <w:b/>
          <w:bCs/>
          <w:sz w:val="20"/>
          <w:szCs w:val="20"/>
        </w:rPr>
        <w:t xml:space="preserve"> Sobre el </w:t>
      </w:r>
      <w:r>
        <w:rPr>
          <w:rFonts w:asciiTheme="minorHAnsi" w:hAnsiTheme="minorHAnsi" w:cstheme="minorHAnsi"/>
          <w:b/>
          <w:bCs/>
          <w:sz w:val="20"/>
          <w:szCs w:val="20"/>
        </w:rPr>
        <w:t>desempeño del equipo evaluador</w:t>
      </w:r>
    </w:p>
    <w:p w14:paraId="34815D11" w14:textId="7A215C8D" w:rsidR="00ED445F" w:rsidRPr="00ED12C1" w:rsidRDefault="002A4072" w:rsidP="00ED445F">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 xml:space="preserve">El equipo evaluador realizó su trabajo con documentación oficial que se le proporcionó y entrevistas a las diferentes áreas, las </w:t>
      </w:r>
      <w:r w:rsidR="001B30EA">
        <w:rPr>
          <w:rFonts w:asciiTheme="minorHAnsi" w:hAnsiTheme="minorHAnsi" w:cstheme="minorHAnsi"/>
          <w:sz w:val="20"/>
          <w:szCs w:val="20"/>
        </w:rPr>
        <w:t>recomendaciones y</w:t>
      </w:r>
      <w:r>
        <w:rPr>
          <w:rFonts w:asciiTheme="minorHAnsi" w:hAnsiTheme="minorHAnsi" w:cstheme="minorHAnsi"/>
          <w:sz w:val="20"/>
          <w:szCs w:val="20"/>
        </w:rPr>
        <w:t xml:space="preserve"> el FODA se conside</w:t>
      </w:r>
      <w:r w:rsidR="00776BB3">
        <w:rPr>
          <w:rFonts w:asciiTheme="minorHAnsi" w:hAnsiTheme="minorHAnsi" w:cstheme="minorHAnsi"/>
          <w:sz w:val="20"/>
          <w:szCs w:val="20"/>
        </w:rPr>
        <w:t xml:space="preserve">ran aptos en las operaciones de </w:t>
      </w:r>
      <w:r w:rsidR="001B30EA">
        <w:rPr>
          <w:rFonts w:asciiTheme="minorHAnsi" w:hAnsiTheme="minorHAnsi" w:cstheme="minorHAnsi"/>
          <w:sz w:val="20"/>
          <w:szCs w:val="20"/>
        </w:rPr>
        <w:t>los Programas</w:t>
      </w:r>
      <w:r w:rsidR="00776BB3">
        <w:rPr>
          <w:rFonts w:asciiTheme="minorHAnsi" w:hAnsiTheme="minorHAnsi" w:cstheme="minorHAnsi"/>
          <w:sz w:val="20"/>
          <w:szCs w:val="20"/>
        </w:rPr>
        <w:t>.</w:t>
      </w:r>
    </w:p>
    <w:p w14:paraId="296D56BF" w14:textId="6017666D" w:rsidR="00E474E8" w:rsidRPr="00936D55" w:rsidRDefault="00E474E8" w:rsidP="00ED445F">
      <w:pPr>
        <w:spacing w:after="0" w:line="240" w:lineRule="auto"/>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3BF5" w14:textId="77777777" w:rsidR="00583B4A" w:rsidRDefault="00583B4A" w:rsidP="008E5209">
      <w:pPr>
        <w:spacing w:after="0" w:line="240" w:lineRule="auto"/>
      </w:pPr>
      <w:r>
        <w:separator/>
      </w:r>
    </w:p>
  </w:endnote>
  <w:endnote w:type="continuationSeparator" w:id="0">
    <w:p w14:paraId="6BBDE4EF" w14:textId="77777777" w:rsidR="00583B4A" w:rsidRDefault="00583B4A"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2E14F09C"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4B31B6">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71E73979"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4B31B6" w:rsidRPr="004B31B6">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3692" w14:textId="77777777" w:rsidR="00583B4A" w:rsidRDefault="00583B4A" w:rsidP="008E5209">
      <w:pPr>
        <w:spacing w:after="0" w:line="240" w:lineRule="auto"/>
      </w:pPr>
      <w:r>
        <w:separator/>
      </w:r>
    </w:p>
  </w:footnote>
  <w:footnote w:type="continuationSeparator" w:id="0">
    <w:p w14:paraId="156319C8" w14:textId="77777777" w:rsidR="00583B4A" w:rsidRDefault="00583B4A"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ED445F" w:rsidRDefault="00B53A27" w:rsidP="00B53A27">
    <w:pPr>
      <w:ind w:left="3828"/>
      <w:jc w:val="right"/>
      <w:rPr>
        <w:rFonts w:ascii="Medium" w:hAnsi="Medium" w:cs="Arial"/>
        <w:b/>
        <w:color w:val="404040" w:themeColor="text1" w:themeTint="BF"/>
        <w:sz w:val="26"/>
        <w:szCs w:val="26"/>
      </w:rPr>
    </w:pPr>
    <w:r w:rsidRPr="00ED445F">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D445F">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ED445F" w:rsidRDefault="00B53A27" w:rsidP="00B53A27">
    <w:pPr>
      <w:ind w:left="3828"/>
      <w:jc w:val="right"/>
      <w:rPr>
        <w:rFonts w:ascii="Medium" w:hAnsi="Medium" w:cs="Arial"/>
        <w:b/>
        <w:color w:val="404040" w:themeColor="text1" w:themeTint="BF"/>
        <w:sz w:val="26"/>
        <w:szCs w:val="26"/>
      </w:rPr>
    </w:pPr>
    <w:r w:rsidRPr="00ED445F">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D445F">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23777577">
    <w:abstractNumId w:val="0"/>
  </w:num>
  <w:num w:numId="2" w16cid:durableId="1834367509">
    <w:abstractNumId w:val="1"/>
  </w:num>
  <w:num w:numId="3" w16cid:durableId="1309087531">
    <w:abstractNumId w:val="3"/>
  </w:num>
  <w:num w:numId="4" w16cid:durableId="821853446">
    <w:abstractNumId w:val="2"/>
  </w:num>
  <w:num w:numId="5" w16cid:durableId="159176912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0021"/>
    <w:rsid w:val="00091285"/>
    <w:rsid w:val="000935A4"/>
    <w:rsid w:val="000A0543"/>
    <w:rsid w:val="000A1D0D"/>
    <w:rsid w:val="000A4397"/>
    <w:rsid w:val="000B745B"/>
    <w:rsid w:val="000C5759"/>
    <w:rsid w:val="000C7555"/>
    <w:rsid w:val="000C7DB8"/>
    <w:rsid w:val="000D764C"/>
    <w:rsid w:val="000F2D60"/>
    <w:rsid w:val="000F3AF6"/>
    <w:rsid w:val="000F6061"/>
    <w:rsid w:val="000F7A44"/>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B30EA"/>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A4072"/>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D187B"/>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B31B6"/>
    <w:rsid w:val="004C10D1"/>
    <w:rsid w:val="004C1175"/>
    <w:rsid w:val="004C1F58"/>
    <w:rsid w:val="004C36DB"/>
    <w:rsid w:val="004D131A"/>
    <w:rsid w:val="004D31EC"/>
    <w:rsid w:val="004E5966"/>
    <w:rsid w:val="004F1261"/>
    <w:rsid w:val="0050641D"/>
    <w:rsid w:val="00510CF9"/>
    <w:rsid w:val="00531BE3"/>
    <w:rsid w:val="00531C3D"/>
    <w:rsid w:val="005369D7"/>
    <w:rsid w:val="0054019F"/>
    <w:rsid w:val="00550AFC"/>
    <w:rsid w:val="00555F51"/>
    <w:rsid w:val="005565AC"/>
    <w:rsid w:val="00564E3C"/>
    <w:rsid w:val="0056725C"/>
    <w:rsid w:val="00572F19"/>
    <w:rsid w:val="00575727"/>
    <w:rsid w:val="005773F7"/>
    <w:rsid w:val="005826E6"/>
    <w:rsid w:val="00583B4A"/>
    <w:rsid w:val="005845F6"/>
    <w:rsid w:val="00585649"/>
    <w:rsid w:val="0058734A"/>
    <w:rsid w:val="0059649C"/>
    <w:rsid w:val="005A2AEF"/>
    <w:rsid w:val="005B4A7B"/>
    <w:rsid w:val="005B6573"/>
    <w:rsid w:val="005B6E40"/>
    <w:rsid w:val="005C0CBC"/>
    <w:rsid w:val="005C1AF2"/>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2C3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76BB3"/>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570BF"/>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D58EF"/>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1A4B"/>
    <w:rsid w:val="00EB345E"/>
    <w:rsid w:val="00EB6C57"/>
    <w:rsid w:val="00EC21F6"/>
    <w:rsid w:val="00EC3814"/>
    <w:rsid w:val="00EC63B6"/>
    <w:rsid w:val="00ED0FAB"/>
    <w:rsid w:val="00ED12C1"/>
    <w:rsid w:val="00ED2843"/>
    <w:rsid w:val="00ED445F"/>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7CDB1-7428-48F6-AE75-A953C23E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755</Words>
  <Characters>4157</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11</cp:revision>
  <cp:lastPrinted>2021-10-18T17:24:00Z</cp:lastPrinted>
  <dcterms:created xsi:type="dcterms:W3CDTF">2022-12-15T17:02:00Z</dcterms:created>
  <dcterms:modified xsi:type="dcterms:W3CDTF">2025-03-10T18:28:00Z</dcterms:modified>
</cp:coreProperties>
</file>